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6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阿斯塔纳一日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193" w:leftChars="426" w:right="480" w:firstLine="0" w:firstLineChars="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第一次坐飞机的感受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ind w:left="1201" w:hanging="1000" w:hangingChars="5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«写面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包的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历史»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第一次做饭的体会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  <w:p>
            <w:pPr>
              <w:pStyle w:val="8"/>
              <w:ind w:firstLine="1000" w:firstLineChars="50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jc w:val="center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«写一篇旅游说明书，介绍著名的旅游景点».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11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  <w:t>Жазу практикасы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cs="Times New Roman"/>
          <w:sz w:val="24"/>
          <w:szCs w:val="24"/>
          <w:lang w:val="kk-KZ" w:eastAsia="ru-RU"/>
        </w:rPr>
        <w:t>阿斯塔纳一日</w:t>
      </w:r>
      <w:r>
        <w:rPr>
          <w:rFonts w:cs="Times New Roman"/>
          <w:sz w:val="24"/>
          <w:szCs w:val="24"/>
          <w:lang w:val="kk-KZ"/>
        </w:rPr>
        <w:t xml:space="preserve">»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bookmarkEnd w:id="0"/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《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第一次坐飞机的感受</w:t>
      </w:r>
      <w:r>
        <w:rPr>
          <w:rFonts w:hint="default" w:ascii="Times New Roman" w:hAnsi="Times New Roman" w:cs="Times New Roman"/>
          <w:bCs/>
          <w:sz w:val="24"/>
          <w:szCs w:val="24"/>
          <w:lang w:val="kk-KZ" w:eastAsia="zh-CN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面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包的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历史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3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《第一次做饭的体会》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cs="Times New Roman"/>
          <w:sz w:val="24"/>
          <w:szCs w:val="24"/>
          <w:lang w:val="kk-KZ" w:eastAsia="zh-CN"/>
        </w:rPr>
        <w:t>эссе жазу</w:t>
      </w:r>
      <w:r>
        <w:rPr>
          <w:rFonts w:cs="Times New Roman"/>
          <w:sz w:val="24"/>
          <w:szCs w:val="24"/>
          <w:lang w:val="kk-KZ"/>
        </w:rPr>
        <w:t xml:space="preserve">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4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4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ko-KR" w:bidi="ar-SA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《</w:t>
      </w:r>
      <w:r>
        <w:rPr>
          <w:rFonts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写一篇旅游说明书，介绍著名的旅游景点</w:t>
      </w:r>
      <w:r>
        <w:rPr>
          <w:rFonts w:hint="eastAsia" w:ascii="Times New Roman" w:hAnsi="Times New Roman" w:eastAsia="Batang" w:cs="Times New Roman"/>
          <w:bCs/>
          <w:color w:val="000000"/>
          <w:sz w:val="24"/>
          <w:szCs w:val="24"/>
          <w:lang w:val="kk-KZ" w:eastAsia="zh-CN" w:bidi="ar-SA"/>
        </w:rPr>
        <w:t>》</w:t>
      </w:r>
      <w:r>
        <w:rPr>
          <w:rFonts w:hint="default" w:ascii="Times New Roman" w:hAnsi="Times New Roman" w:eastAsia="Batang" w:cs="Times New Roman"/>
          <w:bCs/>
          <w:color w:val="000000"/>
          <w:sz w:val="20"/>
          <w:szCs w:val="20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5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5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6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6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DD6C6"/>
    <w:multiLevelType w:val="singleLevel"/>
    <w:tmpl w:val="BD5DD6C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10949D"/>
    <w:multiLevelType w:val="singleLevel"/>
    <w:tmpl w:val="2810949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AB9E"/>
    <w:multiLevelType w:val="singleLevel"/>
    <w:tmpl w:val="52E7AB9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54DDA0B"/>
    <w:multiLevelType w:val="singleLevel"/>
    <w:tmpl w:val="554DDA0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6D37C55"/>
    <w:multiLevelType w:val="singleLevel"/>
    <w:tmpl w:val="76D37C5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46B97420"/>
    <w:rsid w:val="47CF3B81"/>
    <w:rsid w:val="707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6</TotalTime>
  <ScaleCrop>false</ScaleCrop>
  <LinksUpToDate>false</LinksUpToDate>
  <CharactersWithSpaces>3474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2021-10-04T02:22:52Z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5D88668D8B984E8CB90CBE968DB0F58E</vt:lpwstr>
  </property>
</Properties>
</file>